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15</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4424E" w:rsidRPr="00DB498F" w:rsidRDefault="000529D2" w:rsidP="00DB498F">
            <w:pPr>
              <w:suppressLineNumbers/>
              <w:rPr>
                <w:rFonts w:ascii="Arial" w:hAnsi="Arial"/>
                <w:b/>
                <w:bCs/>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רשמת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שלי  פרקש</w:t>
                </w:r>
              </w:sdtContent>
            </w:sdt>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110557" w:rsidRDefault="00F42916">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8458AA" w:rsidP="00897DAF">
            <w:pPr>
              <w:suppressLineNumbers/>
              <w:rPr>
                <w:b/>
                <w:bCs/>
                <w:noProof w:val="0"/>
                <w:sz w:val="26"/>
                <w:szCs w:val="26"/>
              </w:rPr>
            </w:pPr>
            <w:r>
              <w:rPr>
                <w:rFonts w:ascii="Arial" w:hAnsi="Arial" w:hint="cs"/>
                <w:b/>
                <w:bCs/>
                <w:noProof w:val="0"/>
                <w:sz w:val="26"/>
                <w:szCs w:val="26"/>
                <w:rtl/>
              </w:rPr>
              <w:t xml:space="preserve">               ו.ג.</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Pr="00F42916" w:rsidRDefault="00E31B1F" w:rsidP="00D44968">
            <w:pPr>
              <w:suppressLineNumbers/>
              <w:rPr>
                <w:rFonts w:ascii="David" w:hAnsi="David"/>
                <w:b/>
                <w:bCs/>
                <w:noProof w:val="0"/>
                <w:sz w:val="26"/>
                <w:szCs w:val="26"/>
              </w:rPr>
            </w:pPr>
            <w:sdt>
              <w:sdtPr>
                <w:rPr>
                  <w:rFonts w:ascii="David" w:hAnsi="David"/>
                  <w:rtl/>
                </w:rPr>
                <w:alias w:val="1184"/>
                <w:tag w:val="1184"/>
                <w:id w:val="-340621022"/>
                <w:text w:multiLine="1"/>
              </w:sdtPr>
              <w:sdtEndPr/>
              <w:sdtContent>
                <w:r w:rsidR="00897DAF" w:rsidRPr="00F42916">
                  <w:rPr>
                    <w:rFonts w:ascii="David" w:hAnsi="David"/>
                    <w:b/>
                    <w:bCs/>
                    <w:noProof w:val="0"/>
                    <w:sz w:val="26"/>
                    <w:szCs w:val="26"/>
                    <w:rtl/>
                  </w:rPr>
                  <w:t>משיבים</w:t>
                </w:r>
              </w:sdtContent>
            </w:sdt>
          </w:p>
        </w:tc>
        <w:tc>
          <w:tcPr>
            <w:tcW w:w="5571" w:type="dxa"/>
            <w:gridSpan w:val="2"/>
          </w:tcPr>
          <w:p w:rsidR="0094424E" w:rsidRPr="00F42916" w:rsidRDefault="008458AA" w:rsidP="00F42916">
            <w:pPr>
              <w:pStyle w:val="ad"/>
              <w:numPr>
                <w:ilvl w:val="0"/>
                <w:numId w:val="2"/>
              </w:numPr>
              <w:suppressLineNumbers/>
              <w:rPr>
                <w:rFonts w:ascii="David" w:hAnsi="David" w:cs="David"/>
                <w:b/>
                <w:bCs/>
                <w:sz w:val="26"/>
                <w:szCs w:val="26"/>
              </w:rPr>
            </w:pPr>
            <w:r>
              <w:rPr>
                <w:rFonts w:ascii="David" w:hAnsi="David" w:cs="David" w:hint="cs"/>
                <w:b/>
                <w:bCs/>
                <w:sz w:val="26"/>
                <w:szCs w:val="26"/>
                <w:rtl/>
              </w:rPr>
              <w:t>ל</w:t>
            </w:r>
          </w:p>
          <w:p w:rsidR="00F42916" w:rsidRPr="00F42916" w:rsidRDefault="008458AA" w:rsidP="00F42916">
            <w:pPr>
              <w:pStyle w:val="ad"/>
              <w:numPr>
                <w:ilvl w:val="0"/>
                <w:numId w:val="2"/>
              </w:numPr>
              <w:suppressLineNumbers/>
              <w:rPr>
                <w:rFonts w:ascii="David" w:hAnsi="David" w:cs="David"/>
                <w:b/>
                <w:bCs/>
                <w:sz w:val="26"/>
                <w:szCs w:val="26"/>
              </w:rPr>
            </w:pPr>
            <w:r>
              <w:rPr>
                <w:rFonts w:ascii="David" w:hAnsi="David" w:cs="David" w:hint="cs"/>
                <w:b/>
                <w:bCs/>
                <w:sz w:val="26"/>
                <w:szCs w:val="26"/>
                <w:rtl/>
              </w:rPr>
              <w:t>א</w:t>
            </w:r>
          </w:p>
          <w:p w:rsidR="00F42916" w:rsidRPr="00F42916" w:rsidRDefault="008458AA" w:rsidP="00F42916">
            <w:pPr>
              <w:pStyle w:val="ad"/>
              <w:numPr>
                <w:ilvl w:val="0"/>
                <w:numId w:val="2"/>
              </w:numPr>
              <w:suppressLineNumbers/>
              <w:rPr>
                <w:rFonts w:ascii="David" w:hAnsi="David" w:cs="David"/>
                <w:b/>
                <w:bCs/>
                <w:sz w:val="26"/>
                <w:szCs w:val="26"/>
                <w:rtl/>
              </w:rPr>
            </w:pPr>
            <w:r>
              <w:rPr>
                <w:rFonts w:ascii="David" w:hAnsi="David" w:cs="David" w:hint="cs"/>
                <w:b/>
                <w:bCs/>
                <w:sz w:val="26"/>
                <w:szCs w:val="26"/>
                <w:rtl/>
              </w:rPr>
              <w:t>ד</w:t>
            </w: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42916" w:rsidRPr="00F42916" w:rsidRDefault="00F42916" w:rsidP="008458AA">
      <w:pPr>
        <w:pStyle w:val="ad"/>
        <w:numPr>
          <w:ilvl w:val="0"/>
          <w:numId w:val="1"/>
        </w:numPr>
        <w:spacing w:after="0" w:line="360" w:lineRule="auto"/>
        <w:ind w:left="0"/>
        <w:jc w:val="both"/>
        <w:rPr>
          <w:rFonts w:ascii="David" w:hAnsi="David" w:cs="David"/>
          <w:sz w:val="24"/>
          <w:szCs w:val="24"/>
        </w:rPr>
      </w:pPr>
      <w:bookmarkStart w:id="1" w:name="NGCSBookmark"/>
      <w:bookmarkEnd w:id="1"/>
      <w:r w:rsidRPr="00F42916">
        <w:rPr>
          <w:rFonts w:ascii="David" w:hAnsi="David" w:cs="David"/>
          <w:sz w:val="24"/>
          <w:szCs w:val="24"/>
          <w:rtl/>
        </w:rPr>
        <w:t xml:space="preserve">לפניי בקשה למתן צו מניעה זמני </w:t>
      </w:r>
      <w:r w:rsidR="00CA15FE">
        <w:rPr>
          <w:rFonts w:ascii="David" w:hAnsi="David" w:cs="David" w:hint="cs"/>
          <w:sz w:val="24"/>
          <w:szCs w:val="24"/>
          <w:rtl/>
        </w:rPr>
        <w:t xml:space="preserve">לפיו לא תעשה דיספוזיציה </w:t>
      </w:r>
      <w:r w:rsidR="00CA15FE" w:rsidRPr="00F42916">
        <w:rPr>
          <w:rFonts w:ascii="David" w:hAnsi="David" w:cs="David"/>
          <w:sz w:val="24"/>
          <w:szCs w:val="24"/>
          <w:rtl/>
        </w:rPr>
        <w:t>בנכס</w:t>
      </w:r>
      <w:r w:rsidR="00CA15FE">
        <w:rPr>
          <w:rFonts w:ascii="David" w:hAnsi="David" w:cs="David"/>
          <w:sz w:val="24"/>
          <w:szCs w:val="24"/>
          <w:rtl/>
        </w:rPr>
        <w:t xml:space="preserve"> המקרקעין ב</w:t>
      </w:r>
      <w:r w:rsidR="008458AA">
        <w:rPr>
          <w:rFonts w:ascii="David" w:hAnsi="David" w:cs="David" w:hint="cs"/>
          <w:sz w:val="24"/>
          <w:szCs w:val="24"/>
          <w:rtl/>
        </w:rPr>
        <w:t xml:space="preserve">.... </w:t>
      </w:r>
      <w:r w:rsidR="00CA15FE">
        <w:rPr>
          <w:rFonts w:ascii="David" w:hAnsi="David" w:cs="David" w:hint="cs"/>
          <w:sz w:val="24"/>
          <w:szCs w:val="24"/>
          <w:rtl/>
        </w:rPr>
        <w:t>שהזכויות בו שייכות</w:t>
      </w:r>
      <w:r w:rsidR="00CA15FE">
        <w:rPr>
          <w:rFonts w:ascii="David" w:hAnsi="David" w:cs="David"/>
          <w:sz w:val="24"/>
          <w:szCs w:val="24"/>
          <w:rtl/>
        </w:rPr>
        <w:t xml:space="preserve"> </w:t>
      </w:r>
      <w:r w:rsidR="00CA15FE">
        <w:rPr>
          <w:rFonts w:ascii="David" w:hAnsi="David" w:cs="David" w:hint="cs"/>
          <w:sz w:val="24"/>
          <w:szCs w:val="24"/>
          <w:rtl/>
        </w:rPr>
        <w:t>ל</w:t>
      </w:r>
      <w:r w:rsidRPr="00F42916">
        <w:rPr>
          <w:rFonts w:ascii="David" w:hAnsi="David" w:cs="David"/>
          <w:sz w:val="24"/>
          <w:szCs w:val="24"/>
          <w:rtl/>
        </w:rPr>
        <w:t xml:space="preserve">חברה </w:t>
      </w:r>
      <w:r w:rsidR="008458AA">
        <w:rPr>
          <w:rFonts w:ascii="David" w:hAnsi="David" w:cs="David" w:hint="cs"/>
          <w:sz w:val="24"/>
          <w:szCs w:val="24"/>
          <w:rtl/>
        </w:rPr>
        <w:t>...</w:t>
      </w:r>
      <w:r w:rsidRPr="00F42916">
        <w:rPr>
          <w:rFonts w:ascii="David" w:hAnsi="David" w:cs="David"/>
          <w:sz w:val="24"/>
          <w:szCs w:val="24"/>
          <w:rtl/>
        </w:rPr>
        <w:t xml:space="preserve"> בע"מ</w:t>
      </w:r>
      <w:r w:rsidR="00CA15FE">
        <w:rPr>
          <w:rFonts w:ascii="David" w:hAnsi="David" w:cs="David" w:hint="cs"/>
          <w:sz w:val="24"/>
          <w:szCs w:val="24"/>
          <w:rtl/>
        </w:rPr>
        <w:t xml:space="preserve">. </w:t>
      </w:r>
      <w:r w:rsidRPr="00F42916">
        <w:rPr>
          <w:rFonts w:ascii="David" w:hAnsi="David" w:cs="David"/>
          <w:sz w:val="24"/>
          <w:szCs w:val="24"/>
          <w:rtl/>
        </w:rPr>
        <w:t xml:space="preserve">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 xml:space="preserve">המבקשת היא בתה של המשיבה 1 ואחותם של המשיבים 2-3. בת-אחות נוספת אינה צד להליך. האב-הבעל נפטר בשנת 2013.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בעלי הזכויו</w:t>
      </w:r>
      <w:r w:rsidR="00CA15FE">
        <w:rPr>
          <w:rFonts w:ascii="David" w:hAnsi="David" w:cs="David"/>
          <w:sz w:val="24"/>
          <w:szCs w:val="24"/>
          <w:rtl/>
        </w:rPr>
        <w:t>ת בחברה הם המשיבה 1 בשיעור 50%</w:t>
      </w:r>
      <w:r w:rsidR="00CA15FE">
        <w:rPr>
          <w:rFonts w:ascii="David" w:hAnsi="David" w:cs="David" w:hint="cs"/>
          <w:sz w:val="24"/>
          <w:szCs w:val="24"/>
          <w:rtl/>
        </w:rPr>
        <w:t xml:space="preserve">, </w:t>
      </w:r>
      <w:r w:rsidRPr="00F42916">
        <w:rPr>
          <w:rFonts w:ascii="David" w:hAnsi="David" w:cs="David"/>
          <w:sz w:val="24"/>
          <w:szCs w:val="24"/>
          <w:rtl/>
        </w:rPr>
        <w:t>והמשיבים 2-3 בשיעור 25% כל אחד.</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הפעילות היחידה שבה עוסקת החברה היא השכרת נכס המקרקעין לשוכרים שונים.</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המבקשת הגישה תובענה למתן פסק-דין הצהרתי לפיו היא בעלת 25% ממניות החברה.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ניסיון לקדם את הצדדים לקראת הסכמה לא צלח ומכאן ההחלטה.</w:t>
      </w:r>
    </w:p>
    <w:p w:rsidR="00F42916" w:rsidRPr="00F42916" w:rsidRDefault="00F42916" w:rsidP="00F42916">
      <w:pPr>
        <w:pStyle w:val="ad"/>
        <w:spacing w:after="0" w:line="360" w:lineRule="auto"/>
        <w:ind w:left="0"/>
        <w:jc w:val="both"/>
        <w:rPr>
          <w:rFonts w:ascii="David" w:hAnsi="David" w:cs="David"/>
          <w:sz w:val="24"/>
          <w:szCs w:val="24"/>
        </w:rPr>
      </w:pPr>
    </w:p>
    <w:p w:rsidR="00F42916" w:rsidRPr="00CA15FE" w:rsidRDefault="00F42916" w:rsidP="00F42916">
      <w:pPr>
        <w:pStyle w:val="ad"/>
        <w:numPr>
          <w:ilvl w:val="0"/>
          <w:numId w:val="1"/>
        </w:numPr>
        <w:spacing w:after="0" w:line="360" w:lineRule="auto"/>
        <w:ind w:left="0"/>
        <w:jc w:val="both"/>
        <w:rPr>
          <w:rFonts w:ascii="David" w:hAnsi="David" w:cs="David"/>
          <w:b/>
          <w:bCs/>
          <w:sz w:val="24"/>
          <w:szCs w:val="24"/>
          <w:rtl/>
        </w:rPr>
      </w:pPr>
      <w:r w:rsidRPr="00CA15FE">
        <w:rPr>
          <w:rFonts w:ascii="David" w:hAnsi="David" w:cs="David"/>
          <w:b/>
          <w:bCs/>
          <w:sz w:val="24"/>
          <w:szCs w:val="24"/>
          <w:rtl/>
        </w:rPr>
        <w:t>מאזן הנוחות נוטה בבירור לטובת המבקשת ועל כן יינתן צו כמבוקש כפי שיפורט להלן.</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מטרת הסעד הזמני הוגדרה בהוראת תקנה 94 לתקנות סדר הדין האזרחי, תשע"ט-2018, כהאי לישנא: </w:t>
      </w:r>
      <w:r w:rsidRPr="00F42916">
        <w:rPr>
          <w:rFonts w:ascii="David" w:hAnsi="David" w:cs="David"/>
          <w:sz w:val="24"/>
          <w:szCs w:val="24"/>
        </w:rPr>
        <w:t>"</w:t>
      </w:r>
      <w:r w:rsidRPr="00F42916">
        <w:rPr>
          <w:rFonts w:ascii="David" w:hAnsi="David" w:cs="David"/>
          <w:sz w:val="24"/>
          <w:szCs w:val="24"/>
          <w:rtl/>
        </w:rPr>
        <w:t>מטרת הסעד הזמני היא להבטיח זכות לכאורה במהלך ההליך המשפטי ואת קיומו התקין והיעיל של ההליך או את ביצועו הראוי של פסק-הדין".</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CA15FE">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השיקולים העיקריים אותם שוקל בית המשפט בהכרעתו אם להיעתר לבקשה כפי שמורה לנו הוראת תקנה 95 לתקנות הם קיומן של ראיות מספקות לכאורה לקיום עילת תביעה; נחיצות הסעד הזמני, קרי, רכיב ההכבדה שמשמעותו שאי מתן הצו יכביד על ביצוע פסק-הדין; האם אין סעד אחר שפגיעתו </w:t>
      </w:r>
      <w:r w:rsidRPr="00F42916">
        <w:rPr>
          <w:rFonts w:ascii="David" w:hAnsi="David" w:cs="David"/>
          <w:sz w:val="24"/>
          <w:szCs w:val="24"/>
          <w:rtl/>
        </w:rPr>
        <w:lastRenderedPageBreak/>
        <w:t>במשיבה קלה יותר המשיג את אותה התכלית;</w:t>
      </w:r>
      <w:r w:rsidR="00CA15FE">
        <w:rPr>
          <w:rFonts w:ascii="David" w:hAnsi="David" w:cs="David"/>
          <w:sz w:val="24"/>
          <w:szCs w:val="24"/>
          <w:rtl/>
        </w:rPr>
        <w:t xml:space="preserve"> תום-לבם של הצדדים; והאם המבקש</w:t>
      </w:r>
      <w:r w:rsidR="00CA15FE">
        <w:rPr>
          <w:rFonts w:ascii="David" w:hAnsi="David" w:cs="David" w:hint="cs"/>
          <w:sz w:val="24"/>
          <w:szCs w:val="24"/>
          <w:rtl/>
        </w:rPr>
        <w:t>ת</w:t>
      </w:r>
      <w:r w:rsidR="00CA15FE">
        <w:rPr>
          <w:rFonts w:ascii="David" w:hAnsi="David" w:cs="David"/>
          <w:sz w:val="24"/>
          <w:szCs w:val="24"/>
          <w:rtl/>
        </w:rPr>
        <w:t xml:space="preserve"> לא השתה</w:t>
      </w:r>
      <w:r w:rsidR="00CA15FE">
        <w:rPr>
          <w:rFonts w:ascii="David" w:hAnsi="David" w:cs="David" w:hint="cs"/>
          <w:sz w:val="24"/>
          <w:szCs w:val="24"/>
          <w:rtl/>
        </w:rPr>
        <w:t>תה</w:t>
      </w:r>
      <w:r w:rsidRPr="00F42916">
        <w:rPr>
          <w:rFonts w:ascii="David" w:hAnsi="David" w:cs="David"/>
          <w:sz w:val="24"/>
          <w:szCs w:val="24"/>
          <w:rtl/>
        </w:rPr>
        <w:t xml:space="preserve"> בהגשת הבקשה; אחר זאת יש לבצע השוואת נזקים במסגרת מאזן הנוחות. כידוע, בין עוצמתה הלכאורית של עילת התביעה לבין מאזן הנוחות, קיים יחס של מעין "מקבילית כוחות"</w:t>
      </w:r>
      <w:r w:rsidR="00CA15FE">
        <w:rPr>
          <w:rFonts w:ascii="David" w:hAnsi="David" w:cs="David" w:hint="cs"/>
          <w:sz w:val="24"/>
          <w:szCs w:val="24"/>
          <w:rtl/>
        </w:rPr>
        <w:t xml:space="preserve">.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8458AA">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אשר לראיות מספקות לכאורה לקיומה של עילת תביעה. המבקשת הגישה "הודעה על העברת מניות בחברה פרטית" עליה חתמה המשיבה ביום 7.6.20 בפניו של עו"ד </w:t>
      </w:r>
      <w:r w:rsidR="008458AA">
        <w:rPr>
          <w:rFonts w:ascii="David" w:hAnsi="David" w:cs="David" w:hint="cs"/>
          <w:sz w:val="24"/>
          <w:szCs w:val="24"/>
          <w:rtl/>
        </w:rPr>
        <w:t xml:space="preserve">... </w:t>
      </w:r>
      <w:r w:rsidRPr="00F42916">
        <w:rPr>
          <w:rFonts w:ascii="David" w:hAnsi="David" w:cs="David"/>
          <w:sz w:val="24"/>
          <w:szCs w:val="24"/>
          <w:rtl/>
        </w:rPr>
        <w:t xml:space="preserve">. ר' נספח 5 לתביעה; מ/1. ההעברה נרשמה אצל רשם התאגידים. ר' נספח 2 לתביעה. המבקשת הגישה בנוסף העתק דיווח של רואה-החשבון של החברה, מר </w:t>
      </w:r>
      <w:r w:rsidR="008458AA">
        <w:rPr>
          <w:rFonts w:ascii="David" w:hAnsi="David" w:cs="David" w:hint="cs"/>
          <w:sz w:val="24"/>
          <w:szCs w:val="24"/>
          <w:rtl/>
        </w:rPr>
        <w:t xml:space="preserve">... </w:t>
      </w:r>
      <w:r w:rsidRPr="00F42916">
        <w:rPr>
          <w:rFonts w:ascii="David" w:hAnsi="David" w:cs="David"/>
          <w:sz w:val="24"/>
          <w:szCs w:val="24"/>
          <w:rtl/>
        </w:rPr>
        <w:t>, לרשות המיסים, אודות העברה כא</w:t>
      </w:r>
      <w:r w:rsidR="00CA15FE">
        <w:rPr>
          <w:rFonts w:ascii="David" w:hAnsi="David" w:cs="David"/>
          <w:sz w:val="24"/>
          <w:szCs w:val="24"/>
          <w:rtl/>
        </w:rPr>
        <w:t>מור. אין מחלוקת שהמשיבה נפגשה</w:t>
      </w:r>
      <w:r w:rsidRPr="00F42916">
        <w:rPr>
          <w:rFonts w:ascii="David" w:hAnsi="David" w:cs="David"/>
          <w:sz w:val="24"/>
          <w:szCs w:val="24"/>
          <w:rtl/>
        </w:rPr>
        <w:t xml:space="preserve"> עם </w:t>
      </w:r>
      <w:r w:rsidR="00CA15FE">
        <w:rPr>
          <w:rFonts w:ascii="David" w:hAnsi="David" w:cs="David" w:hint="cs"/>
          <w:sz w:val="24"/>
          <w:szCs w:val="24"/>
          <w:rtl/>
        </w:rPr>
        <w:t>רואה-החשבון במשרדו</w:t>
      </w:r>
      <w:r w:rsidRPr="00F42916">
        <w:rPr>
          <w:rFonts w:ascii="David" w:hAnsi="David" w:cs="David"/>
          <w:sz w:val="24"/>
          <w:szCs w:val="24"/>
          <w:rtl/>
        </w:rPr>
        <w:t xml:space="preserve"> בעניין זה וחתמה בפניו, ביום 7.6.20 או במועד סמוך לכך. יוטעם</w:t>
      </w:r>
      <w:r w:rsidR="00CA15FE">
        <w:rPr>
          <w:rFonts w:ascii="David" w:hAnsi="David" w:cs="David" w:hint="cs"/>
          <w:sz w:val="24"/>
          <w:szCs w:val="24"/>
          <w:rtl/>
        </w:rPr>
        <w:t>,</w:t>
      </w:r>
      <w:r w:rsidRPr="00F42916">
        <w:rPr>
          <w:rFonts w:ascii="David" w:hAnsi="David" w:cs="David"/>
          <w:sz w:val="24"/>
          <w:szCs w:val="24"/>
          <w:rtl/>
        </w:rPr>
        <w:t xml:space="preserve"> כי בשונה מהנטען כלפי עו"ד </w:t>
      </w:r>
      <w:r w:rsidR="008458AA">
        <w:rPr>
          <w:rFonts w:ascii="David" w:hAnsi="David" w:cs="David" w:hint="cs"/>
          <w:sz w:val="24"/>
          <w:szCs w:val="24"/>
          <w:rtl/>
        </w:rPr>
        <w:t xml:space="preserve">... </w:t>
      </w:r>
      <w:r w:rsidRPr="00F42916">
        <w:rPr>
          <w:rFonts w:ascii="David" w:hAnsi="David" w:cs="David"/>
          <w:sz w:val="24"/>
          <w:szCs w:val="24"/>
          <w:rtl/>
        </w:rPr>
        <w:t xml:space="preserve">, שאינו מכיר את החברה והמשפחה, הרי שרו"ח </w:t>
      </w:r>
      <w:r w:rsidR="008458AA">
        <w:rPr>
          <w:rFonts w:ascii="David" w:hAnsi="David" w:cs="David" w:hint="cs"/>
          <w:sz w:val="24"/>
          <w:szCs w:val="24"/>
          <w:rtl/>
        </w:rPr>
        <w:t xml:space="preserve">.... </w:t>
      </w:r>
      <w:r w:rsidRPr="00F42916">
        <w:rPr>
          <w:rFonts w:ascii="David" w:hAnsi="David" w:cs="David"/>
          <w:sz w:val="24"/>
          <w:szCs w:val="24"/>
          <w:rtl/>
        </w:rPr>
        <w:t xml:space="preserve"> הוא משמש רואה-החשבון של החברה "הרבה שנים". ר' עמ' 19, שו' 30.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8458AA">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יתרה מזאת, המשיבה חתמה </w:t>
      </w:r>
      <w:r w:rsidR="00CA15FE">
        <w:rPr>
          <w:rFonts w:ascii="David" w:hAnsi="David" w:cs="David" w:hint="cs"/>
          <w:sz w:val="24"/>
          <w:szCs w:val="24"/>
          <w:rtl/>
        </w:rPr>
        <w:t xml:space="preserve">על תצהיר אותו אימת </w:t>
      </w:r>
      <w:r w:rsidR="0040141F">
        <w:rPr>
          <w:rFonts w:ascii="David" w:hAnsi="David" w:cs="David" w:hint="cs"/>
          <w:sz w:val="24"/>
          <w:szCs w:val="24"/>
          <w:rtl/>
        </w:rPr>
        <w:t xml:space="preserve">בחתימת נוטריון </w:t>
      </w:r>
      <w:r w:rsidRPr="00F42916">
        <w:rPr>
          <w:rFonts w:ascii="David" w:hAnsi="David" w:cs="David"/>
          <w:sz w:val="24"/>
          <w:szCs w:val="24"/>
          <w:rtl/>
        </w:rPr>
        <w:t>עו"ד נוס</w:t>
      </w:r>
      <w:r w:rsidR="0040141F">
        <w:rPr>
          <w:rFonts w:ascii="David" w:hAnsi="David" w:cs="David"/>
          <w:sz w:val="24"/>
          <w:szCs w:val="24"/>
          <w:rtl/>
        </w:rPr>
        <w:t xml:space="preserve">ף, עו"ד </w:t>
      </w:r>
      <w:r w:rsidR="008458AA">
        <w:rPr>
          <w:rFonts w:ascii="David" w:hAnsi="David" w:cs="David" w:hint="cs"/>
          <w:sz w:val="24"/>
          <w:szCs w:val="24"/>
          <w:rtl/>
        </w:rPr>
        <w:t xml:space="preserve">... </w:t>
      </w:r>
      <w:r w:rsidR="0040141F">
        <w:rPr>
          <w:rFonts w:ascii="David" w:hAnsi="David" w:cs="David"/>
          <w:sz w:val="24"/>
          <w:szCs w:val="24"/>
          <w:rtl/>
        </w:rPr>
        <w:t xml:space="preserve">, ביום </w:t>
      </w:r>
      <w:r w:rsidR="0040141F">
        <w:rPr>
          <w:rFonts w:ascii="David" w:hAnsi="David" w:cs="David" w:hint="cs"/>
          <w:sz w:val="24"/>
          <w:szCs w:val="24"/>
          <w:rtl/>
        </w:rPr>
        <w:t>21.6.20 (או ביום 1.7.20).</w:t>
      </w:r>
      <w:r w:rsidRPr="00F42916">
        <w:rPr>
          <w:rFonts w:ascii="David" w:hAnsi="David" w:cs="David"/>
          <w:sz w:val="24"/>
          <w:szCs w:val="24"/>
          <w:rtl/>
        </w:rPr>
        <w:t xml:space="preserve"> בתצהיר זה ציינה כי העבירה 25% ממניותיה למבקשת. ר' נספח 9 לתביעה.</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בית המשפט התרשם, בזהירות המתבקשת, מבלי לקבע דבר בהליך העיקרי, כי מסיבה זו או אחרת, ייתכן רפואית, קשה להסתמך</w:t>
      </w:r>
      <w:r w:rsidR="0040141F">
        <w:rPr>
          <w:rFonts w:ascii="David" w:hAnsi="David" w:cs="David" w:hint="cs"/>
          <w:sz w:val="24"/>
          <w:szCs w:val="24"/>
          <w:rtl/>
        </w:rPr>
        <w:t xml:space="preserve">, </w:t>
      </w:r>
      <w:r w:rsidR="0040141F" w:rsidRPr="0040141F">
        <w:rPr>
          <w:rFonts w:ascii="David" w:hAnsi="David" w:cs="David" w:hint="cs"/>
          <w:sz w:val="24"/>
          <w:szCs w:val="24"/>
          <w:u w:val="single"/>
          <w:rtl/>
        </w:rPr>
        <w:t>נכון למועד הדיון</w:t>
      </w:r>
      <w:r w:rsidR="0040141F">
        <w:rPr>
          <w:rFonts w:ascii="David" w:hAnsi="David" w:cs="David" w:hint="cs"/>
          <w:sz w:val="24"/>
          <w:szCs w:val="24"/>
          <w:rtl/>
        </w:rPr>
        <w:t>,</w:t>
      </w:r>
      <w:r w:rsidRPr="00F42916">
        <w:rPr>
          <w:rFonts w:ascii="David" w:hAnsi="David" w:cs="David"/>
          <w:sz w:val="24"/>
          <w:szCs w:val="24"/>
          <w:rtl/>
        </w:rPr>
        <w:t xml:space="preserve"> על דבריה של המשיבה. </w:t>
      </w:r>
      <w:r w:rsidR="0040141F">
        <w:rPr>
          <w:rFonts w:ascii="David" w:hAnsi="David" w:cs="David" w:hint="cs"/>
          <w:sz w:val="24"/>
          <w:szCs w:val="24"/>
          <w:rtl/>
        </w:rPr>
        <w:t xml:space="preserve">כך, </w:t>
      </w:r>
      <w:r w:rsidRPr="00F42916">
        <w:rPr>
          <w:rFonts w:ascii="David" w:hAnsi="David" w:cs="David"/>
          <w:sz w:val="24"/>
          <w:szCs w:val="24"/>
          <w:rtl/>
        </w:rPr>
        <w:t xml:space="preserve">למרות שכתבה באותו תצהיר, ס' 4, שהוסכם בינה לבין בעלה המנוח שהוא יוריש לבנים ואילו היא תוריש לבנות, במהלך הדיון טענה "כשבעלי נפטר הוא עשה צוואה שלא ידעתי עליה, זו הייתה מכה בשבילי כי לא עושים דבר כזה, מה עושים לבד בלי להתייעץ איתי? מה אני סמרטוט? הוא היה צריך להתייעץ איתי כמו כל בן אדם נורמלי. מאוד הופתעתי ממה שהוא כתב בצוואה שהוא נתן רק לבנים, הוא צריך לתת לארבעתם". ר' עמ' 16, שו' 26-29. </w:t>
      </w:r>
    </w:p>
    <w:p w:rsidR="00F42916" w:rsidRPr="00F42916" w:rsidRDefault="00F42916" w:rsidP="00F42916">
      <w:pPr>
        <w:pStyle w:val="ad"/>
        <w:spacing w:after="0" w:line="360" w:lineRule="auto"/>
        <w:ind w:left="0"/>
        <w:jc w:val="both"/>
        <w:rPr>
          <w:rFonts w:ascii="David" w:hAnsi="David" w:cs="David"/>
          <w:sz w:val="24"/>
          <w:szCs w:val="24"/>
          <w:rtl/>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חרף האמור, יצוין, ואולי זה העיקר, בזהירות המתבקשת, מבלי לקבע דבר בהליך העיקרי, כי ההתרשמות היא שהמשיבה פשוט שינתה את דעתה, או במילותיה כהאי לישנא: "היום לא הייתי עושה את זה בשום פנים ואופ</w:t>
      </w:r>
      <w:r w:rsidR="008458AA">
        <w:rPr>
          <w:rFonts w:ascii="David" w:hAnsi="David" w:cs="David"/>
          <w:sz w:val="24"/>
          <w:szCs w:val="24"/>
          <w:rtl/>
        </w:rPr>
        <w:t>ן. אז עשיתי את זה בלי לחשוב. ו</w:t>
      </w:r>
      <w:r w:rsidR="008458AA">
        <w:rPr>
          <w:rFonts w:ascii="David" w:hAnsi="David" w:cs="David" w:hint="cs"/>
          <w:sz w:val="24"/>
          <w:szCs w:val="24"/>
          <w:rtl/>
        </w:rPr>
        <w:t>...</w:t>
      </w:r>
      <w:r w:rsidRPr="00F42916">
        <w:rPr>
          <w:rFonts w:ascii="David" w:hAnsi="David" w:cs="David"/>
          <w:sz w:val="24"/>
          <w:szCs w:val="24"/>
          <w:rtl/>
        </w:rPr>
        <w:t xml:space="preserve"> אמרה לי בואי איתי לעו"ד כדי לחתום על המניות". ר' עמ' 16, שו' 24-25. </w:t>
      </w:r>
    </w:p>
    <w:p w:rsidR="00F42916" w:rsidRPr="00F42916" w:rsidRDefault="00F42916" w:rsidP="00F42916">
      <w:pPr>
        <w:pStyle w:val="ad"/>
        <w:spacing w:after="0" w:line="360" w:lineRule="auto"/>
        <w:ind w:left="0"/>
        <w:jc w:val="both"/>
        <w:rPr>
          <w:rFonts w:ascii="David" w:hAnsi="David" w:cs="David"/>
          <w:sz w:val="24"/>
          <w:szCs w:val="24"/>
        </w:rPr>
      </w:pPr>
    </w:p>
    <w:p w:rsidR="0040141F" w:rsidRDefault="00F42916" w:rsidP="00F42916">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 xml:space="preserve">די באלה על מנת לקבוע כי הוצגו ראיות מספקות לכאורה לקיומה של עילת התביעה. </w:t>
      </w:r>
    </w:p>
    <w:p w:rsidR="0040141F" w:rsidRPr="0040141F" w:rsidRDefault="0040141F" w:rsidP="0040141F">
      <w:pPr>
        <w:pStyle w:val="ad"/>
        <w:rPr>
          <w:rFonts w:ascii="David" w:hAnsi="David" w:cs="David"/>
          <w:sz w:val="24"/>
          <w:szCs w:val="24"/>
          <w:rtl/>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 xml:space="preserve">ואם לא די באלה, ניתן לתמוך את מצב הדברים בכך שהמשיבים 2-3 הגישו ביום 10.9.20 תובענה למתן פסק-דין הצהרתי לפיו "לא בוצעה העברה של מניות החברה" מהמשיבה למבקשת. נדמה כי הדבר מדבר בעד עצמו ואין צורך להרחיב ולהטעים שאם לא בוצעה העברה של המניות אז אין צורך בעתירה לבית המשפט להצהיר שלא בוצעה העברה של המניות. </w:t>
      </w:r>
    </w:p>
    <w:p w:rsidR="00F42916" w:rsidRPr="00F42916" w:rsidRDefault="00F42916" w:rsidP="00F42916">
      <w:pPr>
        <w:spacing w:line="360" w:lineRule="auto"/>
        <w:jc w:val="both"/>
        <w:rPr>
          <w:rFonts w:ascii="David" w:hAnsi="David"/>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אשר לרכיב ההכבדה המהווה כידוע אבן בוחן מרכזית בבקשה לסעד זמני. המשיב 2, המוציא והמביא, העיד כי הזמין חוות-דעת שמאי מקרקעין על מנת להעריך את שווי הנכס וכן כי מחובתו "לבדוק את הפוטנציאל של המבנה הזה". ר' עמ' 17, שו' 11. המ</w:t>
      </w:r>
      <w:r w:rsidR="0040141F">
        <w:rPr>
          <w:rFonts w:ascii="David" w:hAnsi="David" w:cs="David"/>
          <w:sz w:val="24"/>
          <w:szCs w:val="24"/>
          <w:rtl/>
        </w:rPr>
        <w:t>שיב 2 אמנם העיד כי לא קיימת עסק</w:t>
      </w:r>
      <w:r w:rsidR="0040141F">
        <w:rPr>
          <w:rFonts w:ascii="David" w:hAnsi="David" w:cs="David" w:hint="cs"/>
          <w:sz w:val="24"/>
          <w:szCs w:val="24"/>
          <w:rtl/>
        </w:rPr>
        <w:t>ת</w:t>
      </w:r>
      <w:r w:rsidRPr="00F42916">
        <w:rPr>
          <w:rFonts w:ascii="David" w:hAnsi="David" w:cs="David"/>
          <w:sz w:val="24"/>
          <w:szCs w:val="24"/>
          <w:rtl/>
        </w:rPr>
        <w:t xml:space="preserve"> מכירה על הפרק בשלב זה וכי לא פנה למתווך, אך לצד זאת גם ל</w:t>
      </w:r>
      <w:r w:rsidR="0040141F">
        <w:rPr>
          <w:rFonts w:ascii="David" w:hAnsi="David" w:cs="David"/>
          <w:sz w:val="24"/>
          <w:szCs w:val="24"/>
          <w:rtl/>
        </w:rPr>
        <w:t>א שלל אפשרות של מכירת הנכס</w:t>
      </w:r>
      <w:r w:rsidRPr="00F42916">
        <w:rPr>
          <w:rFonts w:ascii="David" w:hAnsi="David" w:cs="David"/>
          <w:sz w:val="24"/>
          <w:szCs w:val="24"/>
          <w:rtl/>
        </w:rPr>
        <w:t xml:space="preserve">. </w:t>
      </w:r>
    </w:p>
    <w:p w:rsidR="00F42916" w:rsidRPr="00F42916" w:rsidRDefault="00F42916" w:rsidP="00F42916">
      <w:pPr>
        <w:pStyle w:val="ad"/>
        <w:spacing w:after="0" w:line="360" w:lineRule="auto"/>
        <w:ind w:left="0"/>
        <w:jc w:val="both"/>
        <w:rPr>
          <w:rFonts w:ascii="David" w:hAnsi="David" w:cs="David"/>
          <w:sz w:val="24"/>
          <w:szCs w:val="24"/>
        </w:rPr>
      </w:pPr>
    </w:p>
    <w:p w:rsidR="0040141F" w:rsidRPr="005F6703" w:rsidRDefault="00F42916" w:rsidP="005F6703">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בהינתן שאין צפי נראה לעין לסיום ההליכים המשפטיים, ההתרשמות היא שבהחלט יש מקום להגן על האפשרות הפוטנציאלית שלפיה למבקשת מניות בחברה.</w:t>
      </w:r>
      <w:r w:rsidR="0040141F">
        <w:rPr>
          <w:rFonts w:ascii="David" w:hAnsi="David" w:cs="David" w:hint="cs"/>
          <w:sz w:val="24"/>
          <w:szCs w:val="24"/>
          <w:rtl/>
        </w:rPr>
        <w:t xml:space="preserve"> במצב דברים שבו הנכס היחיד של החברה הוא נכס המקרקעין וכי הפעילות היחידה היא השכרתו, בהחלט יש מקום לייתן צו המגביל עשיית דיספוזיציה בו.</w:t>
      </w:r>
      <w:r w:rsidRPr="00F42916">
        <w:rPr>
          <w:rFonts w:ascii="David" w:hAnsi="David" w:cs="David"/>
          <w:sz w:val="24"/>
          <w:szCs w:val="24"/>
          <w:rtl/>
        </w:rPr>
        <w:t xml:space="preserve"> </w:t>
      </w:r>
      <w:r w:rsidR="005F6703" w:rsidRPr="00F42916">
        <w:rPr>
          <w:rFonts w:ascii="David" w:hAnsi="David" w:cs="David"/>
          <w:sz w:val="24"/>
          <w:szCs w:val="24"/>
          <w:rtl/>
        </w:rPr>
        <w:t xml:space="preserve">מאליו ברור שאם יימכר הנכס, לא ניתן יהיה להשיב את הגלגל לאחור במקרה שטענות המבקשת תתקבלנה.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8458AA">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לא זו בלבד. דירת המגורים היחידה של המשיבה ברחוב </w:t>
      </w:r>
      <w:r w:rsidR="008458AA">
        <w:rPr>
          <w:rFonts w:ascii="David" w:hAnsi="David" w:cs="David" w:hint="cs"/>
          <w:sz w:val="24"/>
          <w:szCs w:val="24"/>
          <w:rtl/>
        </w:rPr>
        <w:t>....</w:t>
      </w:r>
      <w:r w:rsidRPr="00F42916">
        <w:rPr>
          <w:rFonts w:ascii="David" w:hAnsi="David" w:cs="David"/>
          <w:sz w:val="24"/>
          <w:szCs w:val="24"/>
          <w:rtl/>
        </w:rPr>
        <w:t xml:space="preserve"> (מען החברה) נמכרה לפני כ-3 שנים. את התמורה, חלקה או רובה, חילקה לבניה המשיבים ולבתה הרביעית. ר' עמ' 16, שו' 10-13. מצב דברים שבו המשיבה מכרה את דירת המגורים ו</w:t>
      </w:r>
      <w:r w:rsidR="005F6703">
        <w:rPr>
          <w:rFonts w:ascii="David" w:hAnsi="David" w:cs="David" w:hint="cs"/>
          <w:sz w:val="24"/>
          <w:szCs w:val="24"/>
          <w:rtl/>
        </w:rPr>
        <w:t xml:space="preserve">היא </w:t>
      </w:r>
      <w:r w:rsidRPr="00F42916">
        <w:rPr>
          <w:rFonts w:ascii="David" w:hAnsi="David" w:cs="David"/>
          <w:sz w:val="24"/>
          <w:szCs w:val="24"/>
          <w:rtl/>
        </w:rPr>
        <w:t>מתגוררת בשכירות ו</w:t>
      </w:r>
      <w:r w:rsidR="005F6703">
        <w:rPr>
          <w:rFonts w:ascii="David" w:hAnsi="David" w:cs="David" w:hint="cs"/>
          <w:sz w:val="24"/>
          <w:szCs w:val="24"/>
          <w:rtl/>
        </w:rPr>
        <w:t xml:space="preserve">כן </w:t>
      </w:r>
      <w:r w:rsidRPr="00F42916">
        <w:rPr>
          <w:rFonts w:ascii="David" w:hAnsi="David" w:cs="David"/>
          <w:sz w:val="24"/>
          <w:szCs w:val="24"/>
          <w:rtl/>
        </w:rPr>
        <w:t>חילקה את התמורה בין ילדיה</w:t>
      </w:r>
      <w:r w:rsidR="005F6703">
        <w:rPr>
          <w:rFonts w:ascii="David" w:hAnsi="David" w:cs="David" w:hint="cs"/>
          <w:sz w:val="24"/>
          <w:szCs w:val="24"/>
          <w:rtl/>
        </w:rPr>
        <w:t>,</w:t>
      </w:r>
      <w:r w:rsidRPr="00F42916">
        <w:rPr>
          <w:rFonts w:ascii="David" w:hAnsi="David" w:cs="David"/>
          <w:sz w:val="24"/>
          <w:szCs w:val="24"/>
          <w:rtl/>
        </w:rPr>
        <w:t xml:space="preserve"> מגביר את החשש מפני ביצוע פעולות שיסכלו ביצועו של פסק-דין ככל שתתקבלנה טענות המבקשת. </w:t>
      </w:r>
    </w:p>
    <w:p w:rsidR="00F42916" w:rsidRPr="00F42916" w:rsidRDefault="00F42916" w:rsidP="00F42916">
      <w:pPr>
        <w:pStyle w:val="ad"/>
        <w:spacing w:after="0" w:line="360" w:lineRule="auto"/>
        <w:ind w:left="0"/>
        <w:jc w:val="both"/>
        <w:rPr>
          <w:rFonts w:ascii="David" w:hAnsi="David" w:cs="David"/>
          <w:sz w:val="24"/>
          <w:szCs w:val="24"/>
        </w:rPr>
      </w:pPr>
    </w:p>
    <w:p w:rsidR="00F42916" w:rsidRPr="005F6703" w:rsidRDefault="00F42916" w:rsidP="00404A62">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יתרה מזאת, מצבה הרפואי או הנפשי של המשיבה, אשר, ככל הנראה, ללא כל מומחיות בתחום, אינו יציב</w:t>
      </w:r>
      <w:r w:rsidR="005F6703">
        <w:rPr>
          <w:rFonts w:ascii="David" w:hAnsi="David" w:cs="David" w:hint="cs"/>
          <w:sz w:val="24"/>
          <w:szCs w:val="24"/>
          <w:rtl/>
        </w:rPr>
        <w:t xml:space="preserve"> כעת</w:t>
      </w:r>
      <w:r w:rsidRPr="00F42916">
        <w:rPr>
          <w:rFonts w:ascii="David" w:hAnsi="David" w:cs="David"/>
          <w:sz w:val="24"/>
          <w:szCs w:val="24"/>
          <w:rtl/>
        </w:rPr>
        <w:t xml:space="preserve">, מחדד את הצורך בהטלת הצו המבוקש. </w:t>
      </w:r>
      <w:r w:rsidR="00F6617B">
        <w:rPr>
          <w:rFonts w:ascii="David" w:hAnsi="David" w:cs="David" w:hint="cs"/>
          <w:sz w:val="24"/>
          <w:szCs w:val="24"/>
          <w:rtl/>
        </w:rPr>
        <w:t xml:space="preserve">לא יהיה מוגזם לומר כי </w:t>
      </w:r>
      <w:r w:rsidR="005F6703">
        <w:rPr>
          <w:rFonts w:ascii="David" w:hAnsi="David" w:cs="David" w:hint="cs"/>
          <w:sz w:val="24"/>
          <w:szCs w:val="24"/>
          <w:rtl/>
        </w:rPr>
        <w:t>גם למשיבה תצמח תועלת ממתן הצו</w:t>
      </w:r>
      <w:r w:rsidR="00404A62">
        <w:rPr>
          <w:rFonts w:ascii="David" w:hAnsi="David" w:cs="David" w:hint="cs"/>
          <w:sz w:val="24"/>
          <w:szCs w:val="24"/>
          <w:rtl/>
        </w:rPr>
        <w:t xml:space="preserve"> </w:t>
      </w:r>
      <w:r w:rsidR="005F6703">
        <w:rPr>
          <w:rFonts w:ascii="David" w:hAnsi="David" w:cs="David" w:hint="cs"/>
          <w:sz w:val="24"/>
          <w:szCs w:val="24"/>
          <w:rtl/>
        </w:rPr>
        <w:t>ו</w:t>
      </w:r>
      <w:r w:rsidR="00404A62">
        <w:rPr>
          <w:rFonts w:ascii="David" w:hAnsi="David" w:cs="David" w:hint="cs"/>
          <w:sz w:val="24"/>
          <w:szCs w:val="24"/>
          <w:rtl/>
        </w:rPr>
        <w:t>יהיה בכך</w:t>
      </w:r>
      <w:r w:rsidR="00F6617B">
        <w:rPr>
          <w:rFonts w:ascii="David" w:hAnsi="David" w:cs="David" w:hint="cs"/>
          <w:sz w:val="24"/>
          <w:szCs w:val="24"/>
          <w:rtl/>
        </w:rPr>
        <w:t xml:space="preserve"> כדי לשמור על </w:t>
      </w:r>
      <w:r w:rsidR="005F6703">
        <w:rPr>
          <w:rFonts w:ascii="David" w:hAnsi="David" w:cs="David" w:hint="cs"/>
          <w:sz w:val="24"/>
          <w:szCs w:val="24"/>
          <w:rtl/>
        </w:rPr>
        <w:t xml:space="preserve">ענייניה בעת שהיא </w:t>
      </w:r>
      <w:r w:rsidR="000445E2">
        <w:rPr>
          <w:rFonts w:ascii="David" w:hAnsi="David" w:cs="David" w:hint="cs"/>
          <w:sz w:val="24"/>
          <w:szCs w:val="24"/>
          <w:rtl/>
        </w:rPr>
        <w:t>נתונה ללחצים</w:t>
      </w:r>
      <w:r w:rsidR="00404A62">
        <w:rPr>
          <w:rFonts w:ascii="David" w:hAnsi="David" w:cs="David" w:hint="cs"/>
          <w:sz w:val="24"/>
          <w:szCs w:val="24"/>
          <w:rtl/>
        </w:rPr>
        <w:t xml:space="preserve"> מצד 4 ילדיה שתהום נפערה ביניהם. </w:t>
      </w:r>
    </w:p>
    <w:p w:rsidR="00F42916" w:rsidRPr="00F42916" w:rsidRDefault="00F42916" w:rsidP="00F42916">
      <w:pPr>
        <w:pStyle w:val="ad"/>
        <w:spacing w:after="0" w:line="360" w:lineRule="auto"/>
        <w:ind w:left="0"/>
        <w:jc w:val="both"/>
        <w:rPr>
          <w:rFonts w:ascii="David" w:hAnsi="David" w:cs="David"/>
          <w:sz w:val="24"/>
          <w:szCs w:val="24"/>
        </w:rPr>
      </w:pPr>
    </w:p>
    <w:p w:rsidR="00F42916" w:rsidRDefault="00F42916" w:rsidP="001C19DE">
      <w:pPr>
        <w:pStyle w:val="ad"/>
        <w:numPr>
          <w:ilvl w:val="0"/>
          <w:numId w:val="1"/>
        </w:numPr>
        <w:spacing w:after="0" w:line="360" w:lineRule="auto"/>
        <w:ind w:left="0"/>
        <w:jc w:val="both"/>
        <w:rPr>
          <w:rFonts w:ascii="David" w:hAnsi="David" w:cs="David"/>
          <w:sz w:val="24"/>
          <w:szCs w:val="24"/>
        </w:rPr>
      </w:pPr>
      <w:r w:rsidRPr="00404A62">
        <w:rPr>
          <w:rFonts w:ascii="David" w:hAnsi="David" w:cs="David"/>
          <w:sz w:val="24"/>
          <w:szCs w:val="24"/>
          <w:rtl/>
        </w:rPr>
        <w:t xml:space="preserve">אשר לרכיבי העזר אשר עוגנו בהוראת תקנה 95(ד)(3) לתקנות. אשר למועד הגשת הבקשה. אמנם הבקשה הוגשה בחלוף כשנתיים וחצי ממועד נקיטת ההליך, אולם, חוות דעת שמאי </w:t>
      </w:r>
      <w:r w:rsidR="00404A62" w:rsidRPr="00404A62">
        <w:rPr>
          <w:rFonts w:ascii="David" w:hAnsi="David" w:cs="David"/>
          <w:sz w:val="24"/>
          <w:szCs w:val="24"/>
          <w:rtl/>
        </w:rPr>
        <w:t>המקרקעין נערכה לפני כ-5 חודשים</w:t>
      </w:r>
      <w:r w:rsidR="00404A62" w:rsidRPr="00404A62">
        <w:rPr>
          <w:rFonts w:ascii="David" w:hAnsi="David" w:cs="David" w:hint="cs"/>
          <w:sz w:val="24"/>
          <w:szCs w:val="24"/>
          <w:rtl/>
        </w:rPr>
        <w:t xml:space="preserve">. </w:t>
      </w:r>
      <w:r w:rsidRPr="00404A62">
        <w:rPr>
          <w:rFonts w:ascii="David" w:hAnsi="David" w:cs="David"/>
          <w:sz w:val="24"/>
          <w:szCs w:val="24"/>
          <w:rtl/>
        </w:rPr>
        <w:t>בנסיבות אלה לא נמצאה הצדקה לייחס למבקשת שיהוי בהגשת הבקשה. ניתן אף לומר, בזהירות, שהעובדה ש</w:t>
      </w:r>
      <w:r w:rsidR="00404A62" w:rsidRPr="00404A62">
        <w:rPr>
          <w:rFonts w:ascii="David" w:hAnsi="David" w:cs="David" w:hint="cs"/>
          <w:sz w:val="24"/>
          <w:szCs w:val="24"/>
          <w:rtl/>
        </w:rPr>
        <w:t>המבקשת לא עתרה ל</w:t>
      </w:r>
      <w:r w:rsidRPr="00404A62">
        <w:rPr>
          <w:rFonts w:ascii="David" w:hAnsi="David" w:cs="David"/>
          <w:sz w:val="24"/>
          <w:szCs w:val="24"/>
          <w:rtl/>
        </w:rPr>
        <w:t xml:space="preserve">סעד זמני בתחילת ההליך אלא רק כשעלה חשש לעשיית דיספוזיציה שיש בה פוטנציאל לפגיעה בה, נזקפת לזכותה ולא לחובתה. ר' עמ' 17, שו' 16. </w:t>
      </w:r>
    </w:p>
    <w:p w:rsidR="00404A62" w:rsidRPr="00404A62" w:rsidRDefault="00404A62" w:rsidP="00404A62">
      <w:pPr>
        <w:pStyle w:val="ad"/>
        <w:spacing w:after="0" w:line="360" w:lineRule="auto"/>
        <w:ind w:left="0"/>
        <w:jc w:val="both"/>
        <w:rPr>
          <w:rFonts w:ascii="David" w:hAnsi="David" w:cs="David"/>
          <w:sz w:val="24"/>
          <w:szCs w:val="24"/>
        </w:rPr>
      </w:pPr>
    </w:p>
    <w:p w:rsidR="00F42916" w:rsidRDefault="00F42916" w:rsidP="00F42916">
      <w:pPr>
        <w:pStyle w:val="ad"/>
        <w:numPr>
          <w:ilvl w:val="0"/>
          <w:numId w:val="1"/>
        </w:numPr>
        <w:spacing w:after="0" w:line="360" w:lineRule="auto"/>
        <w:ind w:left="0"/>
        <w:jc w:val="both"/>
        <w:rPr>
          <w:rFonts w:ascii="David" w:hAnsi="David" w:cs="David"/>
          <w:sz w:val="24"/>
          <w:szCs w:val="24"/>
        </w:rPr>
      </w:pPr>
      <w:r w:rsidRPr="00F42916">
        <w:rPr>
          <w:rFonts w:ascii="David" w:hAnsi="David" w:cs="David"/>
          <w:sz w:val="24"/>
          <w:szCs w:val="24"/>
          <w:rtl/>
        </w:rPr>
        <w:t>אשר למאזן הנוחות במסגרתו על בית המשפט להסתכל על התמונה המלאה. בחינת הרכיבים דלעיל בצירוף מאזן הנוחות מובילים לכך לתוצאה שלפיה ידה של המבקשת על העליונה. הנזק שעלול להיגרם למבקשת אם לא יוטל הצו, גדול מהנזק העלול להיגרם למשיבים אם יוטל הצו, כשממילא לא שוכנעתי איזה נזק ייגרם להם בהינתן שעסקת מכירה אינה בשלב זה על הפרק.</w:t>
      </w:r>
    </w:p>
    <w:p w:rsidR="005F6703" w:rsidRPr="005F6703" w:rsidRDefault="005F6703" w:rsidP="005F6703">
      <w:pPr>
        <w:pStyle w:val="ad"/>
        <w:rPr>
          <w:rFonts w:ascii="David" w:hAnsi="David" w:cs="David"/>
          <w:sz w:val="24"/>
          <w:szCs w:val="24"/>
          <w:rtl/>
        </w:rPr>
      </w:pPr>
    </w:p>
    <w:p w:rsidR="005F6703" w:rsidRPr="005F6703" w:rsidRDefault="005F6703" w:rsidP="005F6703">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lastRenderedPageBreak/>
        <w:t xml:space="preserve">בשאר טענות הצדדים, לרבות סכום המשכנתה, </w:t>
      </w:r>
      <w:r w:rsidR="00404A62">
        <w:rPr>
          <w:rFonts w:ascii="David" w:hAnsi="David" w:cs="David" w:hint="cs"/>
          <w:sz w:val="24"/>
          <w:szCs w:val="24"/>
          <w:rtl/>
        </w:rPr>
        <w:t>ו</w:t>
      </w:r>
      <w:r w:rsidRPr="00F42916">
        <w:rPr>
          <w:rFonts w:ascii="David" w:hAnsi="David" w:cs="David"/>
          <w:sz w:val="24"/>
          <w:szCs w:val="24"/>
          <w:rtl/>
        </w:rPr>
        <w:t>הוראות צוואת האב המנוח, ר' נספח 3 לתביעה, לא נמצאה רלבנטיות בשלב זה לעני</w:t>
      </w:r>
      <w:r>
        <w:rPr>
          <w:rFonts w:ascii="David" w:hAnsi="David" w:cs="David"/>
          <w:sz w:val="24"/>
          <w:szCs w:val="24"/>
          <w:rtl/>
        </w:rPr>
        <w:t xml:space="preserve">יננו והן תתלבנה בהליך העיקרי. </w:t>
      </w:r>
      <w:r w:rsidRPr="005F6703">
        <w:rPr>
          <w:rFonts w:ascii="David" w:hAnsi="David" w:cs="David"/>
          <w:sz w:val="24"/>
          <w:szCs w:val="24"/>
          <w:rtl/>
        </w:rPr>
        <w:t xml:space="preserve">כל טענות המשיבים בעניין מסמך שחסר לשם השלמת ההעברה, </w:t>
      </w:r>
      <w:r w:rsidR="00404A62">
        <w:rPr>
          <w:rFonts w:ascii="David" w:hAnsi="David" w:cs="David" w:hint="cs"/>
          <w:sz w:val="24"/>
          <w:szCs w:val="24"/>
          <w:rtl/>
        </w:rPr>
        <w:t xml:space="preserve">תקנון החברה וכיוצא בזה, </w:t>
      </w:r>
      <w:r w:rsidRPr="005F6703">
        <w:rPr>
          <w:rFonts w:ascii="David" w:hAnsi="David" w:cs="David"/>
          <w:sz w:val="24"/>
          <w:szCs w:val="24"/>
          <w:rtl/>
        </w:rPr>
        <w:t xml:space="preserve">אינן רלבנטיות בשלב זה של דיון בבקשה לסעד זמני.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8458AA">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אשר על כן, ניתן בזאת צו מניעה זמני שלפיו לא תעשה כל דיספ</w:t>
      </w:r>
      <w:r w:rsidR="005F6703">
        <w:rPr>
          <w:rFonts w:ascii="David" w:hAnsi="David" w:cs="David" w:hint="cs"/>
          <w:sz w:val="24"/>
          <w:szCs w:val="24"/>
          <w:rtl/>
        </w:rPr>
        <w:t>ו</w:t>
      </w:r>
      <w:r w:rsidR="005F6703">
        <w:rPr>
          <w:rFonts w:ascii="David" w:hAnsi="David" w:cs="David"/>
          <w:sz w:val="24"/>
          <w:szCs w:val="24"/>
          <w:rtl/>
        </w:rPr>
        <w:t>ז</w:t>
      </w:r>
      <w:r w:rsidR="005F6703">
        <w:rPr>
          <w:rFonts w:ascii="David" w:hAnsi="David" w:cs="David" w:hint="cs"/>
          <w:sz w:val="24"/>
          <w:szCs w:val="24"/>
          <w:rtl/>
        </w:rPr>
        <w:t>י</w:t>
      </w:r>
      <w:r w:rsidRPr="00F42916">
        <w:rPr>
          <w:rFonts w:ascii="David" w:hAnsi="David" w:cs="David"/>
          <w:sz w:val="24"/>
          <w:szCs w:val="24"/>
          <w:rtl/>
        </w:rPr>
        <w:t>ציה בזכויות בנ</w:t>
      </w:r>
      <w:r w:rsidR="00404A62">
        <w:rPr>
          <w:rFonts w:ascii="David" w:hAnsi="David" w:cs="David" w:hint="cs"/>
          <w:sz w:val="24"/>
          <w:szCs w:val="24"/>
          <w:rtl/>
        </w:rPr>
        <w:t>כ</w:t>
      </w:r>
      <w:r w:rsidRPr="00F42916">
        <w:rPr>
          <w:rFonts w:ascii="David" w:hAnsi="David" w:cs="David"/>
          <w:sz w:val="24"/>
          <w:szCs w:val="24"/>
          <w:rtl/>
        </w:rPr>
        <w:t xml:space="preserve">ס </w:t>
      </w:r>
      <w:r w:rsidR="00404A62">
        <w:rPr>
          <w:rFonts w:ascii="David" w:hAnsi="David" w:cs="David" w:hint="cs"/>
          <w:sz w:val="24"/>
          <w:szCs w:val="24"/>
          <w:rtl/>
        </w:rPr>
        <w:t xml:space="preserve">המקרקעין </w:t>
      </w:r>
      <w:r w:rsidRPr="00F42916">
        <w:rPr>
          <w:rFonts w:ascii="David" w:hAnsi="David" w:cs="David"/>
          <w:sz w:val="24"/>
          <w:szCs w:val="24"/>
          <w:rtl/>
        </w:rPr>
        <w:t xml:space="preserve">ברחוב </w:t>
      </w:r>
      <w:r w:rsidR="008458AA">
        <w:rPr>
          <w:rFonts w:ascii="David" w:hAnsi="David" w:cs="David" w:hint="cs"/>
          <w:sz w:val="24"/>
          <w:szCs w:val="24"/>
          <w:rtl/>
        </w:rPr>
        <w:t>.....</w:t>
      </w:r>
      <w:r w:rsidRPr="00F42916">
        <w:rPr>
          <w:rFonts w:ascii="David" w:hAnsi="David" w:cs="David"/>
          <w:sz w:val="24"/>
          <w:szCs w:val="24"/>
          <w:rtl/>
        </w:rPr>
        <w:t xml:space="preserve">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אין בצו דבר כדי לפגוע, לגרוע או לסכל התנהלות שוטפת לרבות תשלום לעובדים, לספקים, לחומרי גלם, ולהוצאות שוטפות.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404A62">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 xml:space="preserve">אשר לבטוחות. את הבטוחות יש לקבוע בהיקף ההולם את הנסיבות והן מהוות גורם ממתן מהנזק הפוטנציאלי הטמון בצו. במכלול נסיבות המקרה, לפיצוי בגין כל נזק שייגרם כתוצאה ממתן הצו תפקיד המבקשת בקופת בית המשפט התחייבות עצמית מכוח הוראת תקנה 96(א) לתקנות ועירבון (ערבות בנקאית או מזומן באמצעות שובר) מכוח הוראת תקנה 96(ג) לתקנות, בסך 20,000 ₪ וזאת לא יאוחר מיום </w:t>
      </w:r>
      <w:r w:rsidR="00404A62">
        <w:rPr>
          <w:rFonts w:ascii="David" w:hAnsi="David" w:cs="David" w:hint="cs"/>
          <w:sz w:val="24"/>
          <w:szCs w:val="24"/>
          <w:rtl/>
        </w:rPr>
        <w:t>9</w:t>
      </w:r>
      <w:r w:rsidRPr="00F42916">
        <w:rPr>
          <w:rFonts w:ascii="David" w:hAnsi="David" w:cs="David"/>
          <w:sz w:val="24"/>
          <w:szCs w:val="24"/>
          <w:rtl/>
        </w:rPr>
        <w:t xml:space="preserve">.8.23. תחילת תוקפו של הצו מותנה בהפקדה כאמור. ניתן להגיש פסיקתה לחתימה. </w:t>
      </w:r>
    </w:p>
    <w:p w:rsidR="00F42916" w:rsidRPr="00F42916" w:rsidRDefault="00F42916" w:rsidP="00F42916">
      <w:pPr>
        <w:pStyle w:val="ad"/>
        <w:spacing w:after="0" w:line="360" w:lineRule="auto"/>
        <w:ind w:left="0"/>
        <w:jc w:val="both"/>
        <w:rPr>
          <w:rFonts w:ascii="David" w:hAnsi="David" w:cs="David"/>
          <w:sz w:val="24"/>
          <w:szCs w:val="24"/>
        </w:rPr>
      </w:pPr>
    </w:p>
    <w:p w:rsidR="00F42916" w:rsidRPr="00F42916" w:rsidRDefault="00F42916" w:rsidP="00F42916">
      <w:pPr>
        <w:pStyle w:val="ad"/>
        <w:numPr>
          <w:ilvl w:val="0"/>
          <w:numId w:val="1"/>
        </w:numPr>
        <w:spacing w:after="0" w:line="360" w:lineRule="auto"/>
        <w:ind w:left="0"/>
        <w:jc w:val="both"/>
        <w:rPr>
          <w:rFonts w:ascii="David" w:hAnsi="David" w:cs="David"/>
          <w:sz w:val="24"/>
          <w:szCs w:val="24"/>
          <w:rtl/>
        </w:rPr>
      </w:pPr>
      <w:r w:rsidRPr="00F42916">
        <w:rPr>
          <w:rFonts w:ascii="David" w:hAnsi="David" w:cs="David"/>
          <w:sz w:val="24"/>
          <w:szCs w:val="24"/>
          <w:rtl/>
        </w:rPr>
        <w:t>לאחר שנלקחו בחשבון סוג ההליך, התוצאה, אופי הטענות והתנהלות הצדדים, יישאו המשיבים בהוצאות המבקשת בסך 5,000 ₪ בתוך 30 ימים, הכל בהתאם להוראת תקנות 53, 151(ב) ו-153(ג) לתקנות ותקנה 18(ג) לתקנות בית משפט לעניני משפחה (סדרי דין) התשפ"א-2020.</w:t>
      </w:r>
    </w:p>
    <w:p w:rsidR="00F42916" w:rsidRDefault="00F42916" w:rsidP="00F42916">
      <w:pPr>
        <w:pStyle w:val="ad"/>
        <w:rPr>
          <w:rFonts w:ascii="David" w:hAnsi="David" w:cs="David"/>
          <w:sz w:val="24"/>
          <w:szCs w:val="24"/>
        </w:rPr>
      </w:pPr>
    </w:p>
    <w:p w:rsidR="00694556" w:rsidRDefault="00F42916" w:rsidP="00F42916">
      <w:pPr>
        <w:pStyle w:val="ad"/>
        <w:spacing w:after="0" w:line="360" w:lineRule="auto"/>
        <w:ind w:left="0"/>
        <w:jc w:val="both"/>
        <w:rPr>
          <w:rFonts w:ascii="David" w:hAnsi="David" w:cs="David"/>
          <w:sz w:val="24"/>
          <w:szCs w:val="24"/>
          <w:rtl/>
        </w:rPr>
      </w:pPr>
      <w:r>
        <w:rPr>
          <w:rFonts w:ascii="David" w:hAnsi="David" w:cs="David"/>
          <w:sz w:val="24"/>
          <w:szCs w:val="24"/>
          <w:rtl/>
        </w:rPr>
        <w:t xml:space="preserve">ניתן לפרסם החלטה זו לאחר השמטת פרטים מזהים. </w:t>
      </w:r>
    </w:p>
    <w:p w:rsidR="00F42916" w:rsidRPr="00F42916" w:rsidRDefault="00F42916" w:rsidP="00F42916">
      <w:pPr>
        <w:pStyle w:val="ad"/>
        <w:spacing w:after="0" w:line="360" w:lineRule="auto"/>
        <w:ind w:left="0"/>
        <w:jc w:val="both"/>
        <w:rPr>
          <w:rFonts w:ascii="David" w:hAnsi="David" w:cs="David"/>
          <w:sz w:val="24"/>
          <w:szCs w:val="24"/>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ט"ו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אוגוסט 2023</w:t>
          </w:r>
        </w:sdtContent>
      </w:sdt>
      <w:r w:rsidR="00005C8B">
        <w:rPr>
          <w:rFonts w:ascii="Arial" w:hAnsi="Arial"/>
          <w:noProof w:val="0"/>
          <w:rtl/>
        </w:rPr>
        <w:t>, בהעדר הצדדים.</w:t>
      </w:r>
    </w:p>
    <w:p w:rsidR="00C43648" w:rsidRDefault="00E31B1F"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416602816"/>
        </w:sdtPr>
        <w:sdtEndPr/>
        <w:sdtContent>
          <w:r w:rsidR="00D64E5F">
            <w:drawing>
              <wp:inline distT="0" distB="0" distL="0" distR="0" wp14:editId="50D07946">
                <wp:extent cx="1092708" cy="457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92708" cy="4572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9"/>
      <w:headerReference w:type="default" r:id="rId10"/>
      <w:footerReference w:type="even" r:id="rId11"/>
      <w:footerReference w:type="default" r:id="rId12"/>
      <w:headerReference w:type="first" r:id="rId13"/>
      <w:footerReference w:type="first" r:id="rId14"/>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ED6" w:rsidRDefault="00EF1ED6">
      <w:r>
        <w:separator/>
      </w:r>
    </w:p>
  </w:endnote>
  <w:endnote w:type="continuationSeparator" w:id="0">
    <w:p w:rsidR="00EF1ED6" w:rsidRDefault="00EF1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0F" w:rsidRDefault="000A2B0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31B1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31B1F">
      <w:rPr>
        <w:rStyle w:val="ab"/>
        <w:rtl/>
      </w:rPr>
      <w:t>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0F" w:rsidRDefault="000A2B0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ED6" w:rsidRDefault="00EF1ED6">
      <w:r>
        <w:separator/>
      </w:r>
    </w:p>
  </w:footnote>
  <w:footnote w:type="continuationSeparator" w:id="0">
    <w:p w:rsidR="00EF1ED6" w:rsidRDefault="00EF1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0F" w:rsidRDefault="000A2B0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F42916" w:rsidRDefault="00E31B1F" w:rsidP="008458AA">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תמ"ש</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11790-01-21</w:t>
              </w: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B0F" w:rsidRDefault="000A2B0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83DBE"/>
    <w:multiLevelType w:val="hybridMultilevel"/>
    <w:tmpl w:val="A1B8A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5883CB6"/>
    <w:multiLevelType w:val="hybridMultilevel"/>
    <w:tmpl w:val="DA604B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445E2"/>
    <w:rsid w:val="000529D2"/>
    <w:rsid w:val="000564AB"/>
    <w:rsid w:val="00064FBD"/>
    <w:rsid w:val="00082AB2"/>
    <w:rsid w:val="000906FE"/>
    <w:rsid w:val="00096AF7"/>
    <w:rsid w:val="000A2B0F"/>
    <w:rsid w:val="000B344B"/>
    <w:rsid w:val="000C3B0F"/>
    <w:rsid w:val="000C3B60"/>
    <w:rsid w:val="000E0DD2"/>
    <w:rsid w:val="000E3AF1"/>
    <w:rsid w:val="000F0BC8"/>
    <w:rsid w:val="000F0DD6"/>
    <w:rsid w:val="00107E6D"/>
    <w:rsid w:val="00110557"/>
    <w:rsid w:val="0011194C"/>
    <w:rsid w:val="0011424C"/>
    <w:rsid w:val="001173C6"/>
    <w:rsid w:val="001367BC"/>
    <w:rsid w:val="00144D2A"/>
    <w:rsid w:val="0014653E"/>
    <w:rsid w:val="00180519"/>
    <w:rsid w:val="00191C82"/>
    <w:rsid w:val="001946EB"/>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0141F"/>
    <w:rsid w:val="00404A62"/>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5F6703"/>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458AA"/>
    <w:rsid w:val="0086061C"/>
    <w:rsid w:val="00863F5D"/>
    <w:rsid w:val="00870890"/>
    <w:rsid w:val="00873602"/>
    <w:rsid w:val="00875D12"/>
    <w:rsid w:val="00881CCE"/>
    <w:rsid w:val="0088479D"/>
    <w:rsid w:val="00896889"/>
    <w:rsid w:val="00897DAF"/>
    <w:rsid w:val="008B0E13"/>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A15FE"/>
    <w:rsid w:val="00CC7622"/>
    <w:rsid w:val="00CD608F"/>
    <w:rsid w:val="00CF6BB7"/>
    <w:rsid w:val="00D04AA4"/>
    <w:rsid w:val="00D27982"/>
    <w:rsid w:val="00D33B86"/>
    <w:rsid w:val="00D44968"/>
    <w:rsid w:val="00D53924"/>
    <w:rsid w:val="00D55D0C"/>
    <w:rsid w:val="00D64E5F"/>
    <w:rsid w:val="00D96D8C"/>
    <w:rsid w:val="00D9735D"/>
    <w:rsid w:val="00DA6649"/>
    <w:rsid w:val="00DB498F"/>
    <w:rsid w:val="00DC1259"/>
    <w:rsid w:val="00DC1BD2"/>
    <w:rsid w:val="00DC2571"/>
    <w:rsid w:val="00DC487C"/>
    <w:rsid w:val="00DE1E7D"/>
    <w:rsid w:val="00DE6BF6"/>
    <w:rsid w:val="00E04E84"/>
    <w:rsid w:val="00E1068A"/>
    <w:rsid w:val="00E25884"/>
    <w:rsid w:val="00E25B55"/>
    <w:rsid w:val="00E31B1F"/>
    <w:rsid w:val="00E31C2B"/>
    <w:rsid w:val="00E5426A"/>
    <w:rsid w:val="00E54642"/>
    <w:rsid w:val="00E54CD9"/>
    <w:rsid w:val="00E80CBE"/>
    <w:rsid w:val="00E962E3"/>
    <w:rsid w:val="00EB6C79"/>
    <w:rsid w:val="00EC37E9"/>
    <w:rsid w:val="00EF1ED6"/>
    <w:rsid w:val="00F038D8"/>
    <w:rsid w:val="00F06995"/>
    <w:rsid w:val="00F13623"/>
    <w:rsid w:val="00F42916"/>
    <w:rsid w:val="00F44D1D"/>
    <w:rsid w:val="00F6617B"/>
    <w:rsid w:val="00F84B6D"/>
    <w:rsid w:val="00F957E8"/>
    <w:rsid w:val="00FA311A"/>
    <w:rsid w:val="00FA5FDA"/>
    <w:rsid w:val="00FB46F5"/>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42916"/>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445057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805F9" w:rsidP="00D805F9">
          <w:pPr>
            <w:pStyle w:val="E460D38E05664FF79D4EFF282EF8EC9925"/>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319C4"/>
    <w:rsid w:val="000A4ACE"/>
    <w:rsid w:val="002D02C4"/>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805F9"/>
    <w:rsid w:val="00DB49AA"/>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D805F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1109</Words>
  <Characters>5550</Characters>
  <Application>Microsoft Office Word</Application>
  <DocSecurity>4</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2023-08-13T11:01:00Z</dcterms:created>
  <dcterms:modified xsi:type="dcterms:W3CDTF">2023-08-13T11:01:00Z</dcterms:modified>
</cp:coreProperties>
</file>